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2"/>
        <w:rPr>
          <w:rFonts w:ascii="微软雅黑" w:hAnsi="微软雅黑" w:eastAsia="微软雅黑" w:cs="宋体"/>
          <w:b/>
          <w:bCs/>
          <w:color w:val="181818"/>
          <w:spacing w:val="15"/>
          <w:kern w:val="0"/>
          <w:sz w:val="32"/>
          <w:szCs w:val="36"/>
        </w:rPr>
      </w:pPr>
      <w:bookmarkStart w:id="0" w:name="_GoBack"/>
      <w:bookmarkEnd w:id="0"/>
      <w:r>
        <w:rPr>
          <w:rFonts w:hint="eastAsia" w:ascii="微软雅黑" w:hAnsi="微软雅黑" w:eastAsia="微软雅黑" w:cs="宋体"/>
          <w:b/>
          <w:bCs/>
          <w:color w:val="181818"/>
          <w:spacing w:val="15"/>
          <w:kern w:val="0"/>
          <w:sz w:val="32"/>
          <w:szCs w:val="36"/>
          <w:lang w:eastAsia="zh-CN"/>
        </w:rPr>
        <w:t>云数据库GaussDB</w:t>
      </w:r>
      <w:r>
        <w:rPr>
          <w:rFonts w:hint="eastAsia" w:ascii="微软雅黑" w:hAnsi="微软雅黑" w:eastAsia="微软雅黑" w:cs="宋体"/>
          <w:b/>
          <w:bCs/>
          <w:color w:val="181818"/>
          <w:spacing w:val="15"/>
          <w:kern w:val="0"/>
          <w:sz w:val="32"/>
          <w:szCs w:val="36"/>
        </w:rPr>
        <w:t>服务等级协议</w:t>
      </w:r>
    </w:p>
    <w:p>
      <w:pPr>
        <w:widowControl/>
        <w:spacing w:before="150" w:after="150" w:line="390" w:lineRule="atLeast"/>
        <w:jc w:val="righ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版本生效日期：202</w:t>
      </w:r>
      <w:r>
        <w:rPr>
          <w:rFonts w:ascii="微软雅黑" w:hAnsi="微软雅黑" w:eastAsia="微软雅黑" w:cs="宋体"/>
          <w:color w:val="000000"/>
          <w:kern w:val="0"/>
          <w:szCs w:val="21"/>
        </w:rPr>
        <w:t>3</w:t>
      </w:r>
      <w:r>
        <w:rPr>
          <w:rFonts w:hint="eastAsia" w:ascii="微软雅黑" w:hAnsi="微软雅黑" w:eastAsia="微软雅黑" w:cs="宋体"/>
          <w:color w:val="000000"/>
          <w:kern w:val="0"/>
          <w:szCs w:val="21"/>
        </w:rPr>
        <w:t>-</w:t>
      </w:r>
      <w:r>
        <w:rPr>
          <w:rFonts w:ascii="微软雅黑" w:hAnsi="微软雅黑" w:eastAsia="微软雅黑" w:cs="宋体"/>
          <w:color w:val="000000"/>
          <w:kern w:val="0"/>
          <w:szCs w:val="21"/>
        </w:rPr>
        <w:t>02-10</w:t>
      </w:r>
    </w:p>
    <w:p>
      <w:pPr>
        <w:widowControl/>
        <w:shd w:val="clear" w:color="auto" w:fill="FFFFFF"/>
        <w:spacing w:before="100" w:beforeAutospacing="1" w:after="100" w:afterAutospacing="1" w:line="263" w:lineRule="atLeast"/>
        <w:jc w:val="left"/>
        <w:rPr>
          <w:rFonts w:ascii="微软雅黑" w:hAnsi="微软雅黑" w:eastAsia="微软雅黑" w:cs="宋体"/>
          <w:color w:val="000000"/>
          <w:kern w:val="0"/>
          <w:szCs w:val="21"/>
        </w:rPr>
      </w:pPr>
      <w:r>
        <w:rPr>
          <w:rFonts w:hint="eastAsia" w:ascii="微软雅黑" w:hAnsi="微软雅黑" w:eastAsia="微软雅黑" w:cs="宋体"/>
          <w:b/>
          <w:bCs/>
          <w:color w:val="000000"/>
          <w:kern w:val="0"/>
          <w:szCs w:val="21"/>
        </w:rPr>
        <w:t>第一条总则</w:t>
      </w:r>
      <w:r>
        <w:rPr>
          <w:rFonts w:hint="eastAsia" w:ascii="微软雅黑" w:hAnsi="微软雅黑" w:eastAsia="微软雅黑" w:cs="宋体"/>
          <w:color w:val="000000"/>
          <w:kern w:val="0"/>
          <w:szCs w:val="21"/>
        </w:rPr>
        <w:br w:type="textWrapping"/>
      </w:r>
    </w:p>
    <w:p>
      <w:pPr>
        <w:widowControl/>
        <w:shd w:val="clear" w:color="auto" w:fill="FFFFFF"/>
        <w:spacing w:before="105" w:after="105" w:line="263" w:lineRule="atLeast"/>
        <w:ind w:firstLine="420"/>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天翼云科技有限公司（以下称“天翼云或乙方”,网址：www.ctyun.cn）按照本协议的规定及其不时发布的操作规则向用户（又称“甲方”）提供对象存储服务（以下称“本服务”）。乙方保留随时更改服务等级协议（Service Level Agreement）条款的权利。</w:t>
      </w:r>
    </w:p>
    <w:p>
      <w:pPr>
        <w:widowControl/>
        <w:spacing w:before="100" w:beforeAutospacing="1" w:after="100" w:afterAutospacing="1"/>
        <w:jc w:val="left"/>
        <w:outlineLvl w:val="0"/>
        <w:rPr>
          <w:rFonts w:ascii="微软雅黑" w:hAnsi="微软雅黑" w:eastAsia="微软雅黑" w:cs="宋体"/>
          <w:b/>
          <w:bCs/>
          <w:color w:val="181818"/>
          <w:kern w:val="36"/>
          <w:sz w:val="48"/>
          <w:szCs w:val="48"/>
        </w:rPr>
      </w:pPr>
      <w:r>
        <w:rPr>
          <w:rFonts w:hint="eastAsia" w:ascii="微软雅黑" w:hAnsi="微软雅黑" w:eastAsia="微软雅黑" w:cs="宋体"/>
          <w:b/>
          <w:bCs/>
          <w:color w:val="181818"/>
          <w:kern w:val="36"/>
          <w:szCs w:val="21"/>
        </w:rPr>
        <w:t>第二条 服务说明与承诺</w:t>
      </w:r>
    </w:p>
    <w:p>
      <w:pPr>
        <w:widowControl/>
        <w:spacing w:before="100" w:beforeAutospacing="1" w:after="100" w:afterAutospacing="1"/>
        <w:jc w:val="left"/>
        <w:outlineLvl w:val="1"/>
        <w:rPr>
          <w:rFonts w:ascii="微软雅黑" w:hAnsi="微软雅黑" w:eastAsia="微软雅黑" w:cs="宋体"/>
          <w:b/>
          <w:bCs/>
          <w:color w:val="181818"/>
          <w:kern w:val="0"/>
          <w:sz w:val="36"/>
          <w:szCs w:val="36"/>
        </w:rPr>
      </w:pPr>
      <w:r>
        <w:rPr>
          <w:rFonts w:hint="eastAsia" w:ascii="微软雅黑" w:hAnsi="微软雅黑" w:eastAsia="微软雅黑" w:cs="宋体"/>
          <w:b/>
          <w:bCs/>
          <w:color w:val="181818"/>
          <w:kern w:val="0"/>
          <w:szCs w:val="21"/>
        </w:rPr>
        <w:t>2.1. 定义</w:t>
      </w:r>
    </w:p>
    <w:p>
      <w:pPr>
        <w:widowControl/>
        <w:spacing w:before="150" w:after="150" w:line="390" w:lineRule="atLeast"/>
        <w:jc w:val="left"/>
        <w:rPr>
          <w:rFonts w:ascii="微软雅黑" w:hAnsi="微软雅黑" w:eastAsia="微软雅黑" w:cs="宋体"/>
          <w:color w:val="000000"/>
          <w:kern w:val="0"/>
          <w:szCs w:val="21"/>
        </w:rPr>
      </w:pPr>
      <w:r>
        <w:rPr>
          <w:rFonts w:hint="eastAsia" w:ascii="微软雅黑" w:hAnsi="微软雅黑" w:eastAsia="微软雅黑" w:cs="宋体"/>
          <w:b/>
          <w:color w:val="000000"/>
          <w:kern w:val="0"/>
          <w:szCs w:val="21"/>
        </w:rPr>
        <w:t>服务周期：</w:t>
      </w:r>
      <w:r>
        <w:rPr>
          <w:rFonts w:hint="eastAsia" w:ascii="微软雅黑" w:hAnsi="微软雅黑" w:eastAsia="微软雅黑" w:cs="宋体"/>
          <w:color w:val="000000"/>
          <w:kern w:val="0"/>
          <w:szCs w:val="21"/>
        </w:rPr>
        <w:t>服务周期以月为单位，不满一个月，不计算为一个服务周期。</w:t>
      </w:r>
    </w:p>
    <w:p>
      <w:pPr>
        <w:widowControl/>
        <w:spacing w:before="150" w:after="150" w:line="390" w:lineRule="atLeast"/>
        <w:jc w:val="left"/>
        <w:rPr>
          <w:rFonts w:ascii="微软雅黑" w:hAnsi="微软雅黑" w:eastAsia="微软雅黑" w:cs="宋体"/>
          <w:color w:val="000000"/>
          <w:kern w:val="0"/>
          <w:szCs w:val="21"/>
        </w:rPr>
      </w:pPr>
      <w:r>
        <w:rPr>
          <w:rFonts w:hint="eastAsia" w:ascii="微软雅黑" w:hAnsi="微软雅黑" w:eastAsia="微软雅黑" w:cs="宋体"/>
          <w:b/>
          <w:color w:val="000000"/>
          <w:kern w:val="0"/>
          <w:szCs w:val="21"/>
        </w:rPr>
        <w:t>服务周期总时间：</w:t>
      </w:r>
      <w:r>
        <w:rPr>
          <w:rFonts w:hint="eastAsia" w:ascii="微软雅黑" w:hAnsi="微软雅黑" w:eastAsia="微软雅黑" w:cs="宋体"/>
          <w:color w:val="000000"/>
          <w:kern w:val="0"/>
          <w:szCs w:val="21"/>
        </w:rPr>
        <w:t>指每个服务周期内的总天数×24（小时）×60（分钟）。</w:t>
      </w:r>
    </w:p>
    <w:p>
      <w:pPr>
        <w:widowControl/>
        <w:spacing w:before="150" w:after="150" w:line="390" w:lineRule="atLeast"/>
        <w:jc w:val="left"/>
        <w:rPr>
          <w:rFonts w:ascii="微软雅黑" w:hAnsi="微软雅黑" w:eastAsia="微软雅黑" w:cs="宋体"/>
          <w:color w:val="000000"/>
          <w:kern w:val="0"/>
          <w:szCs w:val="21"/>
        </w:rPr>
      </w:pPr>
      <w:r>
        <w:rPr>
          <w:rFonts w:ascii="微软雅黑" w:hAnsi="微软雅黑" w:eastAsia="微软雅黑" w:cs="宋体"/>
          <w:b/>
          <w:color w:val="000000"/>
          <w:kern w:val="0"/>
          <w:szCs w:val="21"/>
        </w:rPr>
        <w:t>服务不可用：</w:t>
      </w:r>
      <w:r>
        <w:rPr>
          <w:rFonts w:ascii="微软雅黑" w:hAnsi="微软雅黑" w:eastAsia="微软雅黑" w:cs="宋体"/>
          <w:color w:val="000000"/>
          <w:kern w:val="0"/>
          <w:szCs w:val="21"/>
        </w:rPr>
        <w:t>指依照</w:t>
      </w:r>
      <w:r>
        <w:rPr>
          <w:rFonts w:hint="eastAsia" w:ascii="微软雅黑" w:hAnsi="微软雅黑" w:eastAsia="微软雅黑" w:cs="宋体"/>
          <w:color w:val="000000"/>
          <w:kern w:val="0"/>
          <w:szCs w:val="21"/>
          <w:lang w:eastAsia="zh-CN"/>
        </w:rPr>
        <w:t>云数据库GaussDB</w:t>
      </w:r>
      <w:r>
        <w:rPr>
          <w:rFonts w:ascii="微软雅黑" w:hAnsi="微软雅黑" w:eastAsia="微软雅黑" w:cs="宋体"/>
          <w:color w:val="000000"/>
          <w:kern w:val="0"/>
          <w:szCs w:val="21"/>
        </w:rPr>
        <w:t>服务系统中日志记录，因</w:t>
      </w:r>
      <w:r>
        <w:rPr>
          <w:rFonts w:hint="eastAsia" w:ascii="微软雅黑" w:hAnsi="微软雅黑" w:eastAsia="微软雅黑" w:cs="宋体"/>
          <w:color w:val="000000"/>
          <w:kern w:val="0"/>
          <w:szCs w:val="21"/>
        </w:rPr>
        <w:t>天翼云</w:t>
      </w:r>
      <w:r>
        <w:rPr>
          <w:rFonts w:ascii="微软雅黑" w:hAnsi="微软雅黑" w:eastAsia="微软雅黑" w:cs="宋体"/>
          <w:color w:val="000000"/>
          <w:kern w:val="0"/>
          <w:szCs w:val="21"/>
        </w:rPr>
        <w:t xml:space="preserve">原因云数据库GaussDB </w:t>
      </w:r>
      <w:r>
        <w:rPr>
          <w:rFonts w:hint="eastAsia" w:ascii="微软雅黑" w:hAnsi="微软雅黑" w:eastAsia="微软雅黑" w:cs="宋体"/>
          <w:color w:val="000000"/>
          <w:kern w:val="0"/>
          <w:szCs w:val="21"/>
        </w:rPr>
        <w:t>openGauss</w:t>
      </w:r>
      <w:r>
        <w:rPr>
          <w:rFonts w:ascii="微软雅黑" w:hAnsi="微软雅黑" w:eastAsia="微软雅黑" w:cs="宋体"/>
          <w:color w:val="000000"/>
          <w:kern w:val="0"/>
          <w:szCs w:val="21"/>
        </w:rPr>
        <w:t>实例连续超过一分钟无法访问，低于一分钟的不可用时间不计算在内。</w:t>
      </w:r>
    </w:p>
    <w:p>
      <w:pPr>
        <w:widowControl/>
        <w:spacing w:before="150" w:after="150" w:line="390" w:lineRule="atLeast"/>
        <w:jc w:val="left"/>
        <w:rPr>
          <w:rFonts w:ascii="微软雅黑" w:hAnsi="微软雅黑" w:eastAsia="微软雅黑" w:cs="宋体"/>
          <w:color w:val="000000"/>
          <w:kern w:val="0"/>
          <w:szCs w:val="21"/>
        </w:rPr>
      </w:pPr>
      <w:r>
        <w:rPr>
          <w:rFonts w:hint="eastAsia" w:ascii="微软雅黑" w:hAnsi="微软雅黑" w:eastAsia="微软雅黑" w:cs="宋体"/>
          <w:b/>
          <w:color w:val="000000"/>
          <w:kern w:val="0"/>
          <w:szCs w:val="21"/>
        </w:rPr>
        <w:t>服务不可用时间：</w:t>
      </w:r>
      <w:r>
        <w:rPr>
          <w:rFonts w:hint="eastAsia" w:ascii="微软雅黑" w:hAnsi="微软雅黑" w:eastAsia="微软雅黑" w:cs="宋体"/>
          <w:color w:val="000000"/>
          <w:kern w:val="0"/>
          <w:szCs w:val="21"/>
        </w:rPr>
        <w:t>指一个服务周期内服务不可用的时间的总和，服务不可用时间不得重复计算，即每个服务周期的服务不可用时间不计入下一服务周期的服务不可用时间。</w:t>
      </w:r>
    </w:p>
    <w:p>
      <w:pPr>
        <w:widowControl/>
        <w:spacing w:before="100" w:beforeAutospacing="1" w:after="100" w:afterAutospacing="1"/>
        <w:jc w:val="left"/>
        <w:outlineLvl w:val="1"/>
        <w:rPr>
          <w:rFonts w:ascii="微软雅黑" w:hAnsi="微软雅黑" w:eastAsia="微软雅黑" w:cs="宋体"/>
          <w:b/>
          <w:bCs/>
          <w:color w:val="181818"/>
          <w:kern w:val="0"/>
          <w:sz w:val="36"/>
          <w:szCs w:val="36"/>
        </w:rPr>
      </w:pPr>
      <w:r>
        <w:rPr>
          <w:rFonts w:hint="eastAsia" w:ascii="微软雅黑" w:hAnsi="微软雅黑" w:eastAsia="微软雅黑" w:cs="宋体"/>
          <w:b/>
          <w:bCs/>
          <w:color w:val="181818"/>
          <w:kern w:val="0"/>
          <w:szCs w:val="21"/>
        </w:rPr>
        <w:t>2.2. 服务可用性计算方式</w:t>
      </w:r>
    </w:p>
    <w:p>
      <w:pPr>
        <w:widowControl/>
        <w:spacing w:before="150" w:after="150" w:line="405" w:lineRule="atLeas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服务周期服务可用率 =（该服务周期总时间 - 该服务周期服务不可用时间）/ 该服务周期总时间 * 100%。</w:t>
      </w:r>
    </w:p>
    <w:p>
      <w:pPr>
        <w:widowControl/>
        <w:spacing w:before="100" w:beforeAutospacing="1" w:after="100" w:afterAutospacing="1"/>
        <w:jc w:val="left"/>
        <w:outlineLvl w:val="1"/>
        <w:rPr>
          <w:rFonts w:ascii="微软雅黑" w:hAnsi="微软雅黑" w:eastAsia="微软雅黑" w:cs="宋体"/>
          <w:b/>
          <w:bCs/>
          <w:color w:val="181818"/>
          <w:kern w:val="0"/>
          <w:sz w:val="36"/>
          <w:szCs w:val="36"/>
        </w:rPr>
      </w:pPr>
      <w:r>
        <w:rPr>
          <w:rFonts w:hint="eastAsia" w:ascii="微软雅黑" w:hAnsi="微软雅黑" w:eastAsia="微软雅黑" w:cs="宋体"/>
          <w:b/>
          <w:bCs/>
          <w:color w:val="181818"/>
          <w:kern w:val="0"/>
          <w:szCs w:val="21"/>
        </w:rPr>
        <w:t>2.3. 服务可用承诺</w:t>
      </w:r>
    </w:p>
    <w:p>
      <w:pPr>
        <w:widowControl/>
        <w:spacing w:before="150" w:after="150" w:line="390" w:lineRule="atLeas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天翼云承诺</w:t>
      </w:r>
      <w:r>
        <w:rPr>
          <w:rFonts w:hint="eastAsia" w:ascii="微软雅黑" w:hAnsi="微软雅黑" w:eastAsia="微软雅黑" w:cs="宋体"/>
          <w:color w:val="000000"/>
          <w:kern w:val="0"/>
          <w:szCs w:val="21"/>
          <w:lang w:eastAsia="zh-CN"/>
        </w:rPr>
        <w:t>云数据库GaussDB</w:t>
      </w:r>
      <w:r>
        <w:rPr>
          <w:rFonts w:hint="eastAsia" w:ascii="微软雅黑" w:hAnsi="微软雅黑" w:eastAsia="微软雅黑" w:cs="宋体"/>
          <w:color w:val="000000"/>
          <w:kern w:val="0"/>
          <w:szCs w:val="21"/>
        </w:rPr>
        <w:t>每服务周期内的服务可用率不低于99.9</w:t>
      </w:r>
      <w:r>
        <w:rPr>
          <w:rFonts w:ascii="微软雅黑" w:hAnsi="微软雅黑" w:eastAsia="微软雅黑" w:cs="宋体"/>
          <w:color w:val="000000"/>
          <w:kern w:val="0"/>
          <w:szCs w:val="21"/>
        </w:rPr>
        <w:t>9</w:t>
      </w:r>
      <w:r>
        <w:rPr>
          <w:rFonts w:hint="eastAsia" w:ascii="微软雅黑" w:hAnsi="微软雅黑" w:eastAsia="微软雅黑" w:cs="宋体"/>
          <w:color w:val="000000"/>
          <w:kern w:val="0"/>
          <w:szCs w:val="21"/>
        </w:rPr>
        <w:t>%。</w:t>
      </w:r>
    </w:p>
    <w:p>
      <w:pPr>
        <w:widowControl/>
        <w:spacing w:before="100" w:beforeAutospacing="1" w:after="100" w:afterAutospacing="1"/>
        <w:jc w:val="left"/>
        <w:outlineLvl w:val="0"/>
        <w:rPr>
          <w:rFonts w:ascii="微软雅黑" w:hAnsi="微软雅黑" w:eastAsia="微软雅黑" w:cs="宋体"/>
          <w:b/>
          <w:bCs/>
          <w:color w:val="181818"/>
          <w:kern w:val="36"/>
          <w:sz w:val="48"/>
          <w:szCs w:val="48"/>
        </w:rPr>
      </w:pPr>
      <w:r>
        <w:rPr>
          <w:rFonts w:hint="eastAsia" w:ascii="微软雅黑" w:hAnsi="微软雅黑" w:eastAsia="微软雅黑" w:cs="宋体"/>
          <w:b/>
          <w:bCs/>
          <w:color w:val="181818"/>
          <w:kern w:val="36"/>
          <w:szCs w:val="21"/>
        </w:rPr>
        <w:t>第三条  限制说明</w:t>
      </w:r>
    </w:p>
    <w:p>
      <w:pPr>
        <w:widowControl/>
        <w:spacing w:before="75" w:after="150" w:line="405" w:lineRule="atLeas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shd w:val="clear" w:color="auto" w:fill="FFFFFF"/>
        </w:rPr>
        <w:t>以下原因导致的甲方</w:t>
      </w:r>
      <w:r>
        <w:rPr>
          <w:rFonts w:hint="eastAsia" w:ascii="微软雅黑" w:hAnsi="微软雅黑" w:eastAsia="微软雅黑" w:cs="宋体"/>
          <w:color w:val="000000"/>
          <w:kern w:val="0"/>
          <w:szCs w:val="21"/>
          <w:shd w:val="clear" w:color="auto" w:fill="FFFFFF"/>
          <w:lang w:eastAsia="zh-CN"/>
        </w:rPr>
        <w:t>云数据库GaussDB</w:t>
      </w:r>
      <w:r>
        <w:rPr>
          <w:rFonts w:hint="eastAsia" w:ascii="微软雅黑" w:hAnsi="微软雅黑" w:eastAsia="微软雅黑" w:cs="宋体"/>
          <w:color w:val="000000"/>
          <w:kern w:val="0"/>
          <w:szCs w:val="21"/>
          <w:shd w:val="clear" w:color="auto" w:fill="FFFFFF"/>
        </w:rPr>
        <w:t>不可用的情况不计在不可用时间内：</w:t>
      </w:r>
    </w:p>
    <w:p>
      <w:pPr>
        <w:widowControl/>
        <w:spacing w:before="150" w:after="150" w:line="405" w:lineRule="atLeas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1）乙方预先通知甲方后，进行系统维护所引起的，包括割接、维修、升级和模拟故障演练等；</w:t>
      </w:r>
    </w:p>
    <w:p>
      <w:pPr>
        <w:widowControl/>
        <w:spacing w:before="150" w:after="150" w:line="405" w:lineRule="atLeas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2）任何乙方所属设备以外的网络、设备故障或配置调整引起的；</w:t>
      </w:r>
    </w:p>
    <w:p>
      <w:pPr>
        <w:widowControl/>
        <w:spacing w:before="150" w:after="150" w:line="405" w:lineRule="atLeas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3）甲方的应用程序或安装活动所引起的；</w:t>
      </w:r>
    </w:p>
    <w:p>
      <w:pPr>
        <w:widowControl/>
        <w:spacing w:before="150" w:after="150" w:line="405" w:lineRule="atLeas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4）甲方的应用程序或数据信息受到黑客攻击而引起的；</w:t>
      </w:r>
    </w:p>
    <w:p>
      <w:pPr>
        <w:widowControl/>
        <w:spacing w:before="150" w:after="150" w:line="405" w:lineRule="atLeas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5）甲方的疏忽或由甲方授权的操作所引起的；</w:t>
      </w:r>
    </w:p>
    <w:p>
      <w:pPr>
        <w:widowControl/>
        <w:spacing w:before="150" w:after="150" w:line="405" w:lineRule="atLeas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6）甲方维护不当或保密不当致使数据、口令、密码等丢失或泄漏所引起的；</w:t>
      </w:r>
    </w:p>
    <w:p>
      <w:pPr>
        <w:widowControl/>
        <w:spacing w:before="150" w:after="150" w:line="405" w:lineRule="atLeas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7）依照法律法规，应监管部门要求或依照协议及协议中援引的政策甲方的服务被暂停或终止的；</w:t>
      </w:r>
    </w:p>
    <w:p>
      <w:pPr>
        <w:widowControl/>
        <w:spacing w:before="75" w:after="150" w:line="405" w:lineRule="atLeas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shd w:val="clear" w:color="auto" w:fill="FFFFFF"/>
        </w:rPr>
        <w:t>8）因不可抗力以及意外事件引起的。不可抗力、意外事件是指不能预见、不能克服并不能避免且对一方或双方当事人造成重大影响的客观事件，包括但不限于自然灾害如洪水、地震、瘟疫流行等以及社会事件如战争、罢工、动乱、政府行为、电信主干线路中断、黑客、网路堵塞、电信部门技术调整和政府管制等。</w:t>
      </w:r>
    </w:p>
    <w:p>
      <w:pPr>
        <w:widowControl/>
        <w:spacing w:before="75" w:after="150" w:line="405" w:lineRule="atLeas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shd w:val="clear" w:color="auto" w:fill="FFFFFF"/>
        </w:rPr>
        <w:t>当由于上述原因而使乙方无法履行保证时，乙方不承担责任；若由于不可抗力致使一方未能全部或部分履行本协议，经书面通知另一方，本合同内受到影响之条款可在不能履行之期间及受到影响之范围内不承担责任。一旦此类免除责任的原因得到纠正和补救，各方同意以最大努力恢复本合同项下的履行。</w:t>
      </w:r>
    </w:p>
    <w:p>
      <w:pPr>
        <w:widowControl/>
        <w:shd w:val="clear" w:color="auto" w:fill="FFFFFF"/>
        <w:spacing w:before="150" w:after="150" w:line="330" w:lineRule="atLeas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除通用条款中列明的情形外，针对</w:t>
      </w:r>
      <w:r>
        <w:rPr>
          <w:rFonts w:hint="eastAsia" w:ascii="微软雅黑" w:hAnsi="微软雅黑" w:eastAsia="微软雅黑" w:cs="宋体"/>
          <w:color w:val="000000"/>
          <w:kern w:val="0"/>
          <w:szCs w:val="21"/>
          <w:lang w:eastAsia="zh-CN"/>
        </w:rPr>
        <w:t>云数据库GaussDB</w:t>
      </w:r>
      <w:r>
        <w:rPr>
          <w:rFonts w:hint="eastAsia" w:ascii="微软雅黑" w:hAnsi="微软雅黑" w:eastAsia="微软雅黑" w:cs="宋体"/>
          <w:color w:val="000000"/>
          <w:kern w:val="0"/>
          <w:szCs w:val="21"/>
        </w:rPr>
        <w:t>，以下所列情形亦不应被计入服务不可用时间：</w:t>
      </w:r>
    </w:p>
    <w:p>
      <w:pPr>
        <w:widowControl/>
        <w:spacing w:before="150" w:after="150" w:line="405" w:lineRule="atLeas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shd w:val="clear" w:color="auto" w:fill="FFFFFF"/>
        </w:rPr>
        <w:t>9）因客户自身原因引起服务响应延迟，包括但不限于客户消费处理慢导致响应延迟；</w:t>
      </w:r>
    </w:p>
    <w:p>
      <w:pPr>
        <w:widowControl/>
        <w:spacing w:before="150" w:after="150" w:line="405" w:lineRule="atLeas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shd w:val="clear" w:color="auto" w:fill="FFFFFF"/>
        </w:rPr>
        <w:t>10）因客户自身原因引起时序误差，包括但不限于服务器时钟不一致、时区不一致所引起的误差。</w:t>
      </w:r>
    </w:p>
    <w:p>
      <w:pPr>
        <w:widowControl/>
        <w:spacing w:before="100" w:beforeAutospacing="1" w:after="100" w:afterAutospacing="1"/>
        <w:jc w:val="left"/>
        <w:outlineLvl w:val="0"/>
        <w:rPr>
          <w:rFonts w:ascii="微软雅黑" w:hAnsi="微软雅黑" w:eastAsia="微软雅黑" w:cs="宋体"/>
          <w:b/>
          <w:bCs/>
          <w:color w:val="181818"/>
          <w:kern w:val="36"/>
          <w:sz w:val="48"/>
          <w:szCs w:val="48"/>
        </w:rPr>
      </w:pPr>
      <w:r>
        <w:rPr>
          <w:rFonts w:hint="eastAsia" w:ascii="微软雅黑" w:hAnsi="微软雅黑" w:eastAsia="微软雅黑" w:cs="宋体"/>
          <w:b/>
          <w:bCs/>
          <w:color w:val="181818"/>
          <w:kern w:val="36"/>
          <w:szCs w:val="21"/>
        </w:rPr>
        <w:t>第四条 服务补偿</w:t>
      </w:r>
    </w:p>
    <w:p>
      <w:pPr>
        <w:widowControl/>
        <w:shd w:val="clear" w:color="auto" w:fill="FFFFFF"/>
        <w:spacing w:before="150" w:after="150" w:line="263" w:lineRule="atLeast"/>
        <w:jc w:val="left"/>
        <w:rPr>
          <w:rFonts w:ascii="微软雅黑" w:hAnsi="微软雅黑" w:eastAsia="微软雅黑" w:cs="宋体"/>
          <w:color w:val="000000"/>
          <w:kern w:val="0"/>
          <w:szCs w:val="21"/>
        </w:rPr>
      </w:pPr>
      <w:r>
        <w:rPr>
          <w:rFonts w:hint="eastAsia" w:ascii="微软雅黑" w:hAnsi="微软雅黑" w:eastAsia="微软雅黑" w:cs="宋体"/>
          <w:b/>
          <w:bCs/>
          <w:color w:val="000000"/>
          <w:kern w:val="0"/>
          <w:szCs w:val="21"/>
        </w:rPr>
        <w:t>补偿方式：</w:t>
      </w:r>
      <w:r>
        <w:rPr>
          <w:rFonts w:hint="eastAsia" w:ascii="微软雅黑" w:hAnsi="微软雅黑" w:eastAsia="微软雅黑" w:cs="宋体"/>
          <w:color w:val="000000"/>
          <w:kern w:val="0"/>
          <w:szCs w:val="21"/>
        </w:rPr>
        <w:t>如果天翼云未达到本SLA项下承诺的服务可用性，则您可依照本SLA的规定申请补偿，补偿将以服务补偿时间的方式发放，且该补偿是天翼云针对服务不满足服务可用性承诺向您提供的全部及唯一补偿。</w:t>
      </w:r>
    </w:p>
    <w:p>
      <w:pPr>
        <w:widowControl/>
        <w:shd w:val="clear" w:color="auto" w:fill="FFFFFF"/>
        <w:spacing w:before="150" w:after="150" w:line="263" w:lineRule="atLeast"/>
        <w:jc w:val="left"/>
        <w:rPr>
          <w:rFonts w:ascii="微软雅黑" w:hAnsi="微软雅黑" w:eastAsia="微软雅黑" w:cs="宋体"/>
          <w:color w:val="000000"/>
          <w:kern w:val="0"/>
          <w:szCs w:val="21"/>
        </w:rPr>
      </w:pPr>
      <w:r>
        <w:rPr>
          <w:rFonts w:hint="eastAsia" w:ascii="微软雅黑" w:hAnsi="微软雅黑" w:eastAsia="微软雅黑" w:cs="宋体"/>
          <w:b/>
          <w:bCs/>
          <w:color w:val="000000"/>
          <w:kern w:val="0"/>
          <w:szCs w:val="21"/>
        </w:rPr>
        <w:t>补偿申请时限：</w:t>
      </w:r>
      <w:r>
        <w:rPr>
          <w:rFonts w:hint="eastAsia" w:ascii="微软雅黑" w:hAnsi="微软雅黑" w:eastAsia="微软雅黑" w:cs="宋体"/>
          <w:color w:val="000000"/>
          <w:kern w:val="0"/>
          <w:szCs w:val="21"/>
        </w:rPr>
        <w:t>您可在每服务周期账单结清后对该服务周期没有达到服务可用性承诺的云服务提出补偿申请，且补偿申请必须在该云服务没有达到服务可用性承诺的服务周期结束后两（2）个月内提出。超出申请时限的补偿申请将不被受理。天翼云将对您的申请进行合理评估，并依据本SLA约定及诚信原则就是否适用补偿做出决定。</w:t>
      </w:r>
    </w:p>
    <w:p>
      <w:pPr>
        <w:widowControl/>
        <w:shd w:val="clear" w:color="auto" w:fill="FFFFFF"/>
        <w:spacing w:before="105" w:after="105" w:line="263" w:lineRule="atLeast"/>
        <w:jc w:val="left"/>
        <w:rPr>
          <w:rFonts w:ascii="微软雅黑" w:hAnsi="微软雅黑" w:eastAsia="微软雅黑" w:cs="宋体"/>
          <w:color w:val="000000"/>
          <w:kern w:val="0"/>
          <w:szCs w:val="21"/>
        </w:rPr>
      </w:pPr>
      <w:r>
        <w:rPr>
          <w:rFonts w:hint="eastAsia" w:ascii="微软雅黑" w:hAnsi="微软雅黑" w:eastAsia="微软雅黑" w:cs="宋体"/>
          <w:b/>
          <w:bCs/>
          <w:color w:val="000000"/>
          <w:kern w:val="0"/>
          <w:szCs w:val="21"/>
        </w:rPr>
        <w:t>补偿申请方法：</w:t>
      </w:r>
      <w:r>
        <w:rPr>
          <w:rFonts w:hint="eastAsia" w:ascii="微软雅黑" w:hAnsi="微软雅黑" w:eastAsia="微软雅黑" w:cs="宋体"/>
          <w:color w:val="000000"/>
          <w:kern w:val="0"/>
          <w:szCs w:val="21"/>
        </w:rPr>
        <w:t>您可以在天翼云用户中心提交工单申请补偿。</w:t>
      </w:r>
    </w:p>
    <w:tbl>
      <w:tblPr>
        <w:tblStyle w:val="6"/>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769"/>
        <w:gridCol w:w="3474"/>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9" w:hRule="atLeast"/>
          <w:tblCellSpacing w:w="0" w:type="dxa"/>
        </w:trPr>
        <w:tc>
          <w:tcPr>
            <w:tcW w:w="1622" w:type="pct"/>
            <w:shd w:val="clear" w:color="auto" w:fill="FFFFFF"/>
            <w:tcMar>
              <w:top w:w="0" w:type="dxa"/>
              <w:left w:w="105" w:type="dxa"/>
              <w:bottom w:w="0" w:type="dxa"/>
              <w:right w:w="105" w:type="dxa"/>
            </w:tcMar>
            <w:vAlign w:val="center"/>
          </w:tcPr>
          <w:p>
            <w:pPr>
              <w:widowControl/>
              <w:spacing w:before="150" w:after="150" w:line="263" w:lineRule="atLeast"/>
              <w:jc w:val="center"/>
              <w:rPr>
                <w:rFonts w:ascii="微软雅黑" w:hAnsi="微软雅黑" w:eastAsia="微软雅黑" w:cs="宋体"/>
                <w:color w:val="000000"/>
                <w:kern w:val="0"/>
                <w:szCs w:val="21"/>
              </w:rPr>
            </w:pPr>
            <w:r>
              <w:rPr>
                <w:rFonts w:hint="eastAsia" w:ascii="微软雅黑" w:hAnsi="微软雅黑" w:eastAsia="微软雅黑" w:cs="宋体"/>
                <w:b/>
                <w:bCs/>
                <w:color w:val="000000"/>
                <w:kern w:val="0"/>
                <w:szCs w:val="21"/>
              </w:rPr>
              <w:t>产品类型</w:t>
            </w:r>
          </w:p>
        </w:tc>
        <w:tc>
          <w:tcPr>
            <w:tcW w:w="2035" w:type="pct"/>
            <w:shd w:val="clear" w:color="auto" w:fill="FFFFFF"/>
            <w:tcMar>
              <w:top w:w="0" w:type="dxa"/>
              <w:left w:w="105" w:type="dxa"/>
              <w:bottom w:w="0" w:type="dxa"/>
              <w:right w:w="105" w:type="dxa"/>
            </w:tcMar>
            <w:vAlign w:val="center"/>
          </w:tcPr>
          <w:p>
            <w:pPr>
              <w:widowControl/>
              <w:spacing w:before="150" w:after="150" w:line="263" w:lineRule="atLeast"/>
              <w:jc w:val="center"/>
              <w:rPr>
                <w:rFonts w:ascii="微软雅黑" w:hAnsi="微软雅黑" w:eastAsia="微软雅黑" w:cs="宋体"/>
                <w:color w:val="000000"/>
                <w:kern w:val="0"/>
                <w:szCs w:val="21"/>
              </w:rPr>
            </w:pPr>
            <w:r>
              <w:rPr>
                <w:rFonts w:hint="eastAsia" w:ascii="微软雅黑" w:hAnsi="微软雅黑" w:eastAsia="微软雅黑" w:cs="宋体"/>
                <w:b/>
                <w:bCs/>
                <w:color w:val="000000"/>
                <w:kern w:val="0"/>
                <w:szCs w:val="21"/>
              </w:rPr>
              <w:t>服务可用性</w:t>
            </w:r>
          </w:p>
        </w:tc>
        <w:tc>
          <w:tcPr>
            <w:tcW w:w="1343" w:type="pct"/>
            <w:shd w:val="clear" w:color="auto" w:fill="FFFFFF"/>
            <w:tcMar>
              <w:top w:w="0" w:type="dxa"/>
              <w:left w:w="105" w:type="dxa"/>
              <w:bottom w:w="0" w:type="dxa"/>
              <w:right w:w="105" w:type="dxa"/>
            </w:tcMar>
            <w:vAlign w:val="center"/>
          </w:tcPr>
          <w:p>
            <w:pPr>
              <w:widowControl/>
              <w:spacing w:before="150" w:after="150" w:line="263" w:lineRule="atLeast"/>
              <w:jc w:val="center"/>
              <w:rPr>
                <w:rFonts w:ascii="微软雅黑" w:hAnsi="微软雅黑" w:eastAsia="微软雅黑" w:cs="宋体"/>
                <w:color w:val="000000"/>
                <w:kern w:val="0"/>
                <w:szCs w:val="21"/>
              </w:rPr>
            </w:pPr>
            <w:r>
              <w:rPr>
                <w:rFonts w:hint="eastAsia" w:ascii="微软雅黑" w:hAnsi="微软雅黑" w:eastAsia="微软雅黑" w:cs="宋体"/>
                <w:b/>
                <w:bCs/>
                <w:color w:val="000000"/>
                <w:kern w:val="0"/>
                <w:szCs w:val="21"/>
              </w:rPr>
              <w:t>补偿时长（分钟）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blCellSpacing w:w="0" w:type="dxa"/>
        </w:trPr>
        <w:tc>
          <w:tcPr>
            <w:tcW w:w="1622" w:type="pct"/>
            <w:vMerge w:val="restart"/>
            <w:shd w:val="clear" w:color="auto" w:fill="FFFFFF"/>
            <w:tcMar>
              <w:top w:w="0" w:type="dxa"/>
              <w:left w:w="105" w:type="dxa"/>
              <w:bottom w:w="0" w:type="dxa"/>
              <w:right w:w="105" w:type="dxa"/>
            </w:tcMar>
            <w:vAlign w:val="center"/>
          </w:tcPr>
          <w:p>
            <w:pPr>
              <w:widowControl/>
              <w:spacing w:before="150" w:after="150" w:line="263" w:lineRule="atLeast"/>
              <w:jc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云数据库GaussDB</w:t>
            </w:r>
          </w:p>
        </w:tc>
        <w:tc>
          <w:tcPr>
            <w:tcW w:w="2035" w:type="pct"/>
            <w:tcBorders>
              <w:bottom w:val="nil"/>
            </w:tcBorders>
            <w:shd w:val="clear" w:color="auto" w:fill="FFFFFF"/>
            <w:tcMar>
              <w:top w:w="0" w:type="dxa"/>
              <w:left w:w="105" w:type="dxa"/>
              <w:bottom w:w="0" w:type="dxa"/>
              <w:right w:w="105" w:type="dxa"/>
            </w:tcMar>
            <w:vAlign w:val="center"/>
          </w:tcPr>
          <w:p>
            <w:pPr>
              <w:widowControl/>
              <w:spacing w:before="150" w:after="150" w:line="263"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99%≤服务可用性&lt;99.9</w:t>
            </w:r>
            <w:r>
              <w:rPr>
                <w:rFonts w:ascii="微软雅黑" w:hAnsi="微软雅黑" w:eastAsia="微软雅黑" w:cs="宋体"/>
                <w:color w:val="000000"/>
                <w:kern w:val="0"/>
                <w:szCs w:val="21"/>
              </w:rPr>
              <w:t>9</w:t>
            </w:r>
            <w:r>
              <w:rPr>
                <w:rFonts w:hint="eastAsia" w:ascii="微软雅黑" w:hAnsi="微软雅黑" w:eastAsia="微软雅黑" w:cs="宋体"/>
                <w:color w:val="000000"/>
                <w:kern w:val="0"/>
                <w:szCs w:val="21"/>
              </w:rPr>
              <w:t>%</w:t>
            </w:r>
          </w:p>
        </w:tc>
        <w:tc>
          <w:tcPr>
            <w:tcW w:w="1343" w:type="pct"/>
            <w:tcBorders>
              <w:bottom w:val="nil"/>
            </w:tcBorders>
            <w:shd w:val="clear" w:color="auto" w:fill="FFFFFF"/>
            <w:tcMar>
              <w:top w:w="0" w:type="dxa"/>
              <w:left w:w="105" w:type="dxa"/>
              <w:bottom w:w="0" w:type="dxa"/>
              <w:right w:w="105" w:type="dxa"/>
            </w:tcMar>
            <w:vAlign w:val="center"/>
          </w:tcPr>
          <w:p>
            <w:pPr>
              <w:widowControl/>
              <w:spacing w:before="150" w:after="150" w:line="263"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blCellSpacing w:w="0" w:type="dxa"/>
        </w:trPr>
        <w:tc>
          <w:tcPr>
            <w:tcW w:w="1622" w:type="pct"/>
            <w:vMerge w:val="continue"/>
            <w:vAlign w:val="center"/>
          </w:tcPr>
          <w:p>
            <w:pPr>
              <w:widowControl/>
              <w:jc w:val="left"/>
              <w:rPr>
                <w:rFonts w:ascii="微软雅黑" w:hAnsi="微软雅黑" w:eastAsia="微软雅黑" w:cs="宋体"/>
                <w:color w:val="000000"/>
                <w:kern w:val="0"/>
                <w:szCs w:val="21"/>
              </w:rPr>
            </w:pPr>
          </w:p>
        </w:tc>
        <w:tc>
          <w:tcPr>
            <w:tcW w:w="2035" w:type="pct"/>
            <w:shd w:val="clear" w:color="auto" w:fill="FFFFFF"/>
            <w:tcMar>
              <w:top w:w="0" w:type="dxa"/>
              <w:left w:w="105" w:type="dxa"/>
              <w:bottom w:w="0" w:type="dxa"/>
              <w:right w:w="105" w:type="dxa"/>
            </w:tcMar>
            <w:vAlign w:val="center"/>
          </w:tcPr>
          <w:p>
            <w:pPr>
              <w:widowControl/>
              <w:spacing w:before="150" w:after="150" w:line="263"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95%≤服务可用性&lt;99%</w:t>
            </w:r>
          </w:p>
        </w:tc>
        <w:tc>
          <w:tcPr>
            <w:tcW w:w="1343" w:type="pct"/>
            <w:shd w:val="clear" w:color="auto" w:fill="FFFFFF"/>
            <w:tcMar>
              <w:top w:w="0" w:type="dxa"/>
              <w:left w:w="105" w:type="dxa"/>
              <w:bottom w:w="0" w:type="dxa"/>
              <w:right w:w="105" w:type="dxa"/>
            </w:tcMar>
            <w:vAlign w:val="center"/>
          </w:tcPr>
          <w:p>
            <w:pPr>
              <w:widowControl/>
              <w:spacing w:before="150" w:after="150" w:line="263"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blCellSpacing w:w="0" w:type="dxa"/>
        </w:trPr>
        <w:tc>
          <w:tcPr>
            <w:tcW w:w="1622" w:type="pct"/>
            <w:vMerge w:val="continue"/>
            <w:vAlign w:val="center"/>
          </w:tcPr>
          <w:p>
            <w:pPr>
              <w:widowControl/>
              <w:jc w:val="left"/>
              <w:rPr>
                <w:rFonts w:ascii="微软雅黑" w:hAnsi="微软雅黑" w:eastAsia="微软雅黑" w:cs="宋体"/>
                <w:color w:val="000000"/>
                <w:kern w:val="0"/>
                <w:szCs w:val="21"/>
              </w:rPr>
            </w:pPr>
          </w:p>
        </w:tc>
        <w:tc>
          <w:tcPr>
            <w:tcW w:w="2035" w:type="pct"/>
            <w:shd w:val="clear" w:color="auto" w:fill="FFFFFF"/>
            <w:tcMar>
              <w:top w:w="0" w:type="dxa"/>
              <w:left w:w="105" w:type="dxa"/>
              <w:bottom w:w="0" w:type="dxa"/>
              <w:right w:w="105" w:type="dxa"/>
            </w:tcMar>
            <w:vAlign w:val="center"/>
          </w:tcPr>
          <w:p>
            <w:pPr>
              <w:widowControl/>
              <w:spacing w:before="150" w:after="150" w:line="263"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服务可用性&lt;95%</w:t>
            </w:r>
          </w:p>
        </w:tc>
        <w:tc>
          <w:tcPr>
            <w:tcW w:w="1343" w:type="pct"/>
            <w:shd w:val="clear" w:color="auto" w:fill="FFFFFF"/>
            <w:tcMar>
              <w:top w:w="0" w:type="dxa"/>
              <w:left w:w="105" w:type="dxa"/>
              <w:bottom w:w="0" w:type="dxa"/>
              <w:right w:w="105" w:type="dxa"/>
            </w:tcMar>
            <w:vAlign w:val="center"/>
          </w:tcPr>
          <w:p>
            <w:pPr>
              <w:widowControl/>
              <w:spacing w:before="150" w:after="150" w:line="263"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21600</w:t>
            </w:r>
          </w:p>
        </w:tc>
      </w:tr>
    </w:tbl>
    <w:p>
      <w:pPr>
        <w:widowControl/>
        <w:spacing w:before="100" w:beforeAutospacing="1" w:after="100" w:afterAutospacing="1"/>
        <w:jc w:val="left"/>
        <w:outlineLvl w:val="0"/>
        <w:rPr>
          <w:rFonts w:ascii="微软雅黑" w:hAnsi="微软雅黑" w:eastAsia="微软雅黑" w:cs="宋体"/>
          <w:b/>
          <w:bCs/>
          <w:color w:val="181818"/>
          <w:kern w:val="36"/>
          <w:sz w:val="48"/>
          <w:szCs w:val="48"/>
        </w:rPr>
      </w:pPr>
      <w:r>
        <w:rPr>
          <w:rFonts w:hint="eastAsia" w:ascii="微软雅黑" w:hAnsi="微软雅黑" w:eastAsia="微软雅黑" w:cs="宋体"/>
          <w:b/>
          <w:bCs/>
          <w:color w:val="181818"/>
          <w:kern w:val="36"/>
          <w:szCs w:val="21"/>
        </w:rPr>
        <w:t>第五条 协议生效及其他</w:t>
      </w:r>
    </w:p>
    <w:p>
      <w:pPr>
        <w:widowControl/>
        <w:spacing w:before="150" w:after="150" w:line="390" w:lineRule="atLeas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本承诺书自用户申请</w:t>
      </w:r>
      <w:r>
        <w:rPr>
          <w:rFonts w:hint="eastAsia" w:ascii="微软雅黑" w:hAnsi="微软雅黑" w:eastAsia="微软雅黑" w:cs="宋体"/>
          <w:color w:val="000000"/>
          <w:kern w:val="0"/>
          <w:szCs w:val="21"/>
          <w:lang w:eastAsia="zh-CN"/>
        </w:rPr>
        <w:t>云数据库GaussDB</w:t>
      </w:r>
      <w:r>
        <w:rPr>
          <w:rFonts w:hint="eastAsia" w:ascii="微软雅黑" w:hAnsi="微软雅黑" w:eastAsia="微软雅黑" w:cs="宋体"/>
          <w:color w:val="000000"/>
          <w:kern w:val="0"/>
          <w:szCs w:val="21"/>
        </w:rPr>
        <w:t>之日起生效并遵行。终止日期以《</w:t>
      </w:r>
      <w:r>
        <w:rPr>
          <w:rFonts w:ascii="微软雅黑" w:hAnsi="微软雅黑" w:eastAsia="微软雅黑" w:cs="宋体"/>
          <w:color w:val="000000"/>
          <w:kern w:val="0"/>
          <w:szCs w:val="21"/>
        </w:rPr>
        <w:t>天翼云</w:t>
      </w:r>
      <w:r>
        <w:rPr>
          <w:rFonts w:hint="eastAsia" w:ascii="微软雅黑" w:hAnsi="微软雅黑" w:eastAsia="微软雅黑" w:cs="宋体"/>
          <w:color w:val="000000"/>
          <w:kern w:val="0"/>
          <w:szCs w:val="21"/>
        </w:rPr>
        <w:t>数据库GaussDB服务协议》的终止为准。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kOTg0Y2MzMWJjYzVlNzVhNjFjOTdlMzUxNjZjNmQifQ=="/>
  </w:docVars>
  <w:rsids>
    <w:rsidRoot w:val="008F65B3"/>
    <w:rsid w:val="00023212"/>
    <w:rsid w:val="000A1757"/>
    <w:rsid w:val="00135D08"/>
    <w:rsid w:val="002330C6"/>
    <w:rsid w:val="002A707F"/>
    <w:rsid w:val="003E7738"/>
    <w:rsid w:val="00520D08"/>
    <w:rsid w:val="00582816"/>
    <w:rsid w:val="006A3216"/>
    <w:rsid w:val="006F1BE6"/>
    <w:rsid w:val="007C3BFE"/>
    <w:rsid w:val="008E3B06"/>
    <w:rsid w:val="008F65B3"/>
    <w:rsid w:val="00987DBF"/>
    <w:rsid w:val="009D460F"/>
    <w:rsid w:val="00B10D57"/>
    <w:rsid w:val="00C50F5F"/>
    <w:rsid w:val="00CC20C3"/>
    <w:rsid w:val="00E873C1"/>
    <w:rsid w:val="00F40647"/>
    <w:rsid w:val="53B84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uiPriority w:val="99"/>
    <w:rPr>
      <w:color w:val="0000FF"/>
      <w:u w:val="single"/>
    </w:rPr>
  </w:style>
  <w:style w:type="character" w:customStyle="1" w:styleId="10">
    <w:name w:val="标题 1 字符"/>
    <w:basedOn w:val="7"/>
    <w:link w:val="2"/>
    <w:uiPriority w:val="9"/>
    <w:rPr>
      <w:rFonts w:ascii="宋体" w:hAnsi="宋体" w:eastAsia="宋体" w:cs="宋体"/>
      <w:b/>
      <w:bCs/>
      <w:kern w:val="36"/>
      <w:sz w:val="48"/>
      <w:szCs w:val="48"/>
    </w:rPr>
  </w:style>
  <w:style w:type="character" w:customStyle="1" w:styleId="11">
    <w:name w:val="标题 2 字符"/>
    <w:basedOn w:val="7"/>
    <w:link w:val="3"/>
    <w:uiPriority w:val="9"/>
    <w:rPr>
      <w:rFonts w:ascii="宋体" w:hAnsi="宋体" w:eastAsia="宋体" w:cs="宋体"/>
      <w:b/>
      <w:bCs/>
      <w:kern w:val="0"/>
      <w:sz w:val="36"/>
      <w:szCs w:val="36"/>
    </w:rPr>
  </w:style>
  <w:style w:type="character" w:customStyle="1" w:styleId="12">
    <w:name w:val="标题 3 字符"/>
    <w:basedOn w:val="7"/>
    <w:link w:val="4"/>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1469</Words>
  <Characters>1678</Characters>
  <Lines>12</Lines>
  <Paragraphs>3</Paragraphs>
  <TotalTime>12</TotalTime>
  <ScaleCrop>false</ScaleCrop>
  <LinksUpToDate>false</LinksUpToDate>
  <CharactersWithSpaces>1702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2022-10-25T07:30:00Z</dcterms:created>
  <dc:creator>DLT</dc:creator>
  <cp:lastModifiedBy>『』浮生若梦</cp:lastModifiedBy>
  <dcterms:modified xsi:type="dcterms:W3CDTF">2023-05-17T08:51:07Z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59DF2D0DFA5A4E1D96430409EE1E1BF0_12</vt:lpwstr>
  </property>
</Properties>
</file>